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W w:w="10888" w:type="dxa"/>
        <w:tblInd w:w="-977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99"/>
        <w:gridCol w:w="343"/>
        <w:gridCol w:w="2122"/>
        <w:gridCol w:w="768"/>
        <w:gridCol w:w="193"/>
        <w:gridCol w:w="575"/>
        <w:gridCol w:w="236"/>
        <w:gridCol w:w="976"/>
        <w:gridCol w:w="472"/>
        <w:gridCol w:w="4"/>
      </w:tblGrid>
      <w:tr w14:paraId="3154F48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2AA9A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ОТЧЕТ УПРАВЛЯЮЩЕЙ ОРГАНИЗАЦИИ </w:t>
            </w:r>
          </w:p>
        </w:tc>
      </w:tr>
      <w:tr w14:paraId="757C09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02D78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singl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single"/>
                <w:bdr w:val="none" w:color="auto" w:sz="0" w:space="0"/>
                <w:lang w:val="en-US" w:eastAsia="zh-CN" w:bidi="ar"/>
              </w:rPr>
              <w:t>Общество с ограниченной ответственностью «Локомотив»</w:t>
            </w:r>
          </w:p>
        </w:tc>
      </w:tr>
      <w:tr w14:paraId="74920A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579493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Style w:val="4"/>
                <w:rFonts w:eastAsia="SimSun"/>
                <w:sz w:val="24"/>
                <w:szCs w:val="24"/>
                <w:bdr w:val="none" w:color="auto" w:sz="0" w:space="0"/>
                <w:lang w:val="en-US" w:eastAsia="zh-CN" w:bidi="ar"/>
              </w:rPr>
              <w:t>(наименование организации)</w:t>
            </w:r>
          </w:p>
        </w:tc>
      </w:tr>
      <w:tr w14:paraId="294C2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23736FB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6AE04FF">
            <w:pPr>
              <w:rPr>
                <w:rFonts w:hint="eastAsia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80BA65">
            <w:pPr>
              <w:rPr>
                <w:rFonts w:hint="default" w:ascii="Calibri" w:hAnsi="Calibri" w:cs="Calibri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D81FDB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B0803C8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4B6823C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FE166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ПЕРЕД СОБСТВЕННИКАМИ ПОМЕЩЕНИЙ О ВЫПОЛНЕНИИ </w:t>
            </w:r>
          </w:p>
        </w:tc>
      </w:tr>
      <w:tr w14:paraId="21F79C9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10888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center"/>
          </w:tcPr>
          <w:p w14:paraId="631786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ДОГОВОРА НА ТЕХНИЧЕСКОЕ ОБСЛУЖИВАНИЕ МНОГОКВАРТИРНЫМ ДОМОМ ЗА 2025 год </w:t>
            </w:r>
          </w:p>
        </w:tc>
      </w:tr>
      <w:tr w14:paraId="284A385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60BDD6B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bookmarkStart w:id="0" w:name="_GoBack"/>
            <w:bookmarkEnd w:id="0"/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70EBED9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2C9411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961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787BAF0D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4C40122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F1E81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6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052DEA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Адрес многоквартирного дома</w:t>
            </w: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67A154B">
            <w:pPr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DB5200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г. Шахунья</w:t>
            </w:r>
          </w:p>
        </w:tc>
        <w:tc>
          <w:tcPr>
            <w:tcW w:w="2748" w:type="dxa"/>
            <w:gridSpan w:val="5"/>
            <w:tcBorders>
              <w:top w:val="nil"/>
              <w:left w:val="nil"/>
              <w:bottom w:val="single" w:color="000000" w:sz="2" w:space="0"/>
              <w:right w:val="nil"/>
            </w:tcBorders>
            <w:shd w:val="clear"/>
            <w:noWrap/>
            <w:vAlign w:val="bottom"/>
          </w:tcPr>
          <w:p w14:paraId="398B4F75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ул. Г.Веденина д. 90</w:t>
            </w:r>
          </w:p>
        </w:tc>
      </w:tr>
      <w:tr w14:paraId="7391BD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60" w:hRule="atLeast"/>
        </w:trPr>
        <w:tc>
          <w:tcPr>
            <w:tcW w:w="8625" w:type="dxa"/>
            <w:gridSpan w:val="5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28794C6">
            <w:pPr>
              <w:jc w:val="center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787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5CFC310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809D96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A44809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01.01.2025, руб. дата начала отчетного периода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7978007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100701,95</w:t>
            </w:r>
          </w:p>
        </w:tc>
      </w:tr>
      <w:tr w14:paraId="1A710F8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97F48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Начислено в 2025 году, руб. (в отчетном году)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0ACEEE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155016,00</w:t>
            </w:r>
          </w:p>
        </w:tc>
      </w:tr>
      <w:tr w14:paraId="508F3F9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923932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Поступило средств в 2025 году, руб (в отчетном году)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F7C433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155240,41</w:t>
            </w:r>
          </w:p>
        </w:tc>
      </w:tr>
      <w:tr w14:paraId="2829313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8B496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Выполнены работы в 2025 году, руб. (в отчетном году)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602CE4E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162477,98</w:t>
            </w:r>
          </w:p>
        </w:tc>
      </w:tr>
      <w:tr w14:paraId="21C2768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7FFDA0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Остаток средств на 01.01.2026 г. руб. (дата начала года, следующего за отчетным)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5F25E0F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  <w:lang w:val="ru-RU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93464,38</w:t>
            </w:r>
          </w:p>
        </w:tc>
      </w:tr>
      <w:tr w14:paraId="56FCC95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714270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170DA8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9086796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3D00D8F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4CF8CCA2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42894E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59E84186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7265DBA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4" w:type="dxa"/>
          <w:trHeight w:val="300" w:hRule="atLeast"/>
        </w:trPr>
        <w:tc>
          <w:tcPr>
            <w:tcW w:w="5199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0FF0249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43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06204394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122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0F8C9EE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30498BE8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76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6DBEFF61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236" w:type="dxa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2308E49C">
            <w:pPr>
              <w:jc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144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/>
            <w:noWrap/>
            <w:vAlign w:val="bottom"/>
          </w:tcPr>
          <w:p w14:paraId="1BF1BEFA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550B8E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6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152712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Наименование работы (услуги) в рамках выполненной работы (услуги)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center"/>
          </w:tcPr>
          <w:p w14:paraId="537E8F8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Стоимость  (руб.)</w:t>
            </w:r>
          </w:p>
        </w:tc>
      </w:tr>
      <w:tr w14:paraId="7738225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7E75CE8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конструктивных элементов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center"/>
          </w:tcPr>
          <w:p w14:paraId="34F0860B">
            <w:pPr>
              <w:jc w:val="lef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3BDD1B4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8C0A3CB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23.01.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DC3FE1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1632,47</w:t>
            </w:r>
          </w:p>
        </w:tc>
      </w:tr>
      <w:tr w14:paraId="774BE7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6872C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06.02. уборка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сосулек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 кровли (погрузчик)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0D7A7C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1412,47</w:t>
            </w:r>
          </w:p>
        </w:tc>
      </w:tr>
      <w:tr w14:paraId="22607DE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3E261D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11.02. 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ru-RU" w:eastAsia="zh-CN" w:bidi="ar"/>
              </w:rPr>
              <w:t>уборка</w:t>
            </w: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 xml:space="preserve"> сосулек с кровли 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18D8D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752,47</w:t>
            </w:r>
          </w:p>
        </w:tc>
      </w:tr>
      <w:tr w14:paraId="6B4D0E1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7FC70BC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Сентябрь: подсыпка придомовой территории щебнем (погрузчик)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48D6B3C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6054</w:t>
            </w:r>
          </w:p>
        </w:tc>
      </w:tr>
      <w:tr w14:paraId="5F30F4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0D602D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внутридомового инженерного оборудования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2C60CE73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6865F3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4D1EFB8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03.01. холодные радиаторы, прогонка стояка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0EB8015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1957,01</w:t>
            </w:r>
          </w:p>
        </w:tc>
      </w:tr>
      <w:tr w14:paraId="5387B89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86BD45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22.01. холодные радиаторы, прогонка стояка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0259EB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2127,59</w:t>
            </w:r>
          </w:p>
        </w:tc>
      </w:tr>
      <w:tr w14:paraId="2AE4090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7FFB883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25.03. кв.3 устранение засора канализации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0437B2B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3143,10</w:t>
            </w:r>
          </w:p>
        </w:tc>
      </w:tr>
      <w:tr w14:paraId="094A1E3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4D045C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02.06. промывка системы отопления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164D56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7456,6</w:t>
            </w:r>
          </w:p>
        </w:tc>
      </w:tr>
      <w:tr w14:paraId="0057658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7ED6042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16.06. кв.4 осмотр стояка канализации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3660B9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986,79</w:t>
            </w:r>
          </w:p>
        </w:tc>
      </w:tr>
      <w:tr w14:paraId="79D14B0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599276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17.06. к.4 устранение утечки на стояке ХВС (угол-1шт.)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11E410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3841,90</w:t>
            </w:r>
          </w:p>
        </w:tc>
      </w:tr>
      <w:tr w14:paraId="2BA92E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3DF1EA2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и текущий ремонт электроснабжения мест общего пользования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0CFCEAB">
            <w:pPr>
              <w:jc w:val="right"/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1EFDD6B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76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C975CF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04-05.03. замена светильников МОП, ревизия эл.щитов, ремонт контактов в эл.щитах,ВРУ (светильник-7шт., эл.провод-4м., выключатель-1шт.)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11A1A62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19291,78</w:t>
            </w:r>
          </w:p>
        </w:tc>
      </w:tr>
      <w:tr w14:paraId="0D5F06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58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35995925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25-26.03. замена пакетных выключателей на автоматы (автомат 32А-12шт., динрейка, кабель-2м., автомат25А-2шт.)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D02B04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20215,78</w:t>
            </w:r>
          </w:p>
        </w:tc>
      </w:tr>
      <w:tr w14:paraId="1AD37D4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7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5ACB860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26.08.ревизия эл.щитов,ВРУ, ремонт ВРУ, ремонт освещения МОП (автомат-2шт., изолента)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1B2BBB4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10355,23</w:t>
            </w:r>
          </w:p>
        </w:tc>
      </w:tr>
      <w:tr w14:paraId="13299CF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vAlign w:val="bottom"/>
          </w:tcPr>
          <w:p w14:paraId="06A65626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/>
                <w:iCs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/>
                <w:iCs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Прочие работы (услуги)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 w:color="auto" w:fill="FDE9D9"/>
            <w:noWrap/>
            <w:vAlign w:val="bottom"/>
          </w:tcPr>
          <w:p w14:paraId="5727E919">
            <w:pPr>
              <w:rPr>
                <w:rFonts w:hint="default" w:ascii="Times New Roman" w:hAnsi="Times New Roman" w:cs="Times New Roman"/>
                <w:i/>
                <w:iCs/>
                <w:color w:val="000000"/>
                <w:sz w:val="24"/>
                <w:szCs w:val="24"/>
                <w:u w:val="none"/>
              </w:rPr>
            </w:pPr>
          </w:p>
        </w:tc>
      </w:tr>
      <w:tr w14:paraId="5B780A2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02BB7714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Работы по содержанию и ремонту систем дымоудаления и вентиляции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6DA65D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4260,96</w:t>
            </w:r>
          </w:p>
        </w:tc>
      </w:tr>
      <w:tr w14:paraId="13684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01E8EE70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Проведение дератизации и дезинсекции помещений, входящих в состав общего имущества в МКД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CD1CA33">
            <w:pPr>
              <w:rPr>
                <w:rFonts w:hint="default" w:ascii="Times New Roman" w:hAnsi="Times New Roman" w:cs="Times New Roman"/>
                <w:i w:val="0"/>
                <w:iCs w:val="0"/>
                <w:color w:val="000000"/>
                <w:sz w:val="24"/>
                <w:szCs w:val="24"/>
                <w:u w:val="none"/>
              </w:rPr>
            </w:pPr>
          </w:p>
        </w:tc>
      </w:tr>
      <w:tr w14:paraId="0405F1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458C5DE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Уборка придомовой территории механизированным способом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3056FC3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2500,00</w:t>
            </w:r>
          </w:p>
        </w:tc>
      </w:tr>
      <w:tr w14:paraId="4EFA128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CD24ADD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Аварийное обслуживание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3484C0D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8037,36</w:t>
            </w:r>
          </w:p>
        </w:tc>
      </w:tr>
      <w:tr w14:paraId="6F943DB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top"/>
          </w:tcPr>
          <w:p w14:paraId="2BFAE1E9">
            <w:pPr>
              <w:keepNext w:val="0"/>
              <w:keepLines w:val="0"/>
              <w:widowControl/>
              <w:suppressLineNumbers w:val="0"/>
              <w:jc w:val="left"/>
              <w:textAlignment w:val="top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Содержание внутридомового газового оборудования,относящегося к общему имуществу дома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015193B1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5500,98</w:t>
            </w:r>
          </w:p>
        </w:tc>
      </w:tr>
      <w:tr w14:paraId="64C0B35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7CD6AB21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Биллинговое обслуживание (начисление квартплаты, сбор денежных средств с населения, оплата банковских услуг)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BF9A44C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26747,28</w:t>
            </w:r>
          </w:p>
        </w:tc>
      </w:tr>
      <w:tr w14:paraId="79A6D7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2AFEEF49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Расходы на техническое обслуживание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347AFFC7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26022,60</w:t>
            </w:r>
          </w:p>
        </w:tc>
      </w:tr>
      <w:tr w14:paraId="5F22FAD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6C630E40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Ведение регистрационного учета населения (организация работы паспортного стола)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4153517A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2799,90</w:t>
            </w:r>
          </w:p>
        </w:tc>
      </w:tr>
      <w:tr w14:paraId="0DCAB03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vAlign w:val="bottom"/>
          </w:tcPr>
          <w:p w14:paraId="26D76EE7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НДС (5%)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5B7AFD00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7381,71</w:t>
            </w:r>
          </w:p>
        </w:tc>
      </w:tr>
      <w:tr w14:paraId="559A63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2"/>
          <w:wAfter w:w="476" w:type="dxa"/>
          <w:trHeight w:val="300" w:hRule="atLeast"/>
        </w:trPr>
        <w:tc>
          <w:tcPr>
            <w:tcW w:w="8625" w:type="dxa"/>
            <w:gridSpan w:val="5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AC40E1F">
            <w:pPr>
              <w:keepNext w:val="0"/>
              <w:keepLines w:val="0"/>
              <w:widowControl/>
              <w:suppressLineNumbers w:val="0"/>
              <w:jc w:val="lef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Всего расходов с 01.01.2025-31.12.2025</w:t>
            </w:r>
          </w:p>
        </w:tc>
        <w:tc>
          <w:tcPr>
            <w:tcW w:w="1787" w:type="dxa"/>
            <w:gridSpan w:val="3"/>
            <w:tcBorders>
              <w:top w:val="single" w:color="000000" w:sz="2" w:space="0"/>
              <w:left w:val="single" w:color="000000" w:sz="2" w:space="0"/>
              <w:bottom w:val="single" w:color="000000" w:sz="2" w:space="0"/>
              <w:right w:val="single" w:color="000000" w:sz="2" w:space="0"/>
            </w:tcBorders>
            <w:shd w:val="clear"/>
            <w:noWrap/>
            <w:vAlign w:val="bottom"/>
          </w:tcPr>
          <w:p w14:paraId="62341CF4">
            <w:pPr>
              <w:keepNext w:val="0"/>
              <w:keepLines w:val="0"/>
              <w:widowControl/>
              <w:suppressLineNumbers w:val="0"/>
              <w:jc w:val="right"/>
              <w:textAlignment w:val="bottom"/>
              <w:rPr>
                <w:rFonts w:hint="default" w:ascii="Times New Roman" w:hAnsi="Times New Roman" w:cs="Times New Roman"/>
                <w:b/>
                <w:bCs/>
                <w:i w:val="0"/>
                <w:iCs w:val="0"/>
                <w:color w:val="000000"/>
                <w:u w:val="none"/>
              </w:rPr>
            </w:pPr>
            <w:r>
              <w:rPr>
                <w:rFonts w:hint="default" w:ascii="Times New Roman" w:hAnsi="Times New Roman" w:eastAsia="SimSun" w:cs="Times New Roman"/>
                <w:b/>
                <w:bCs/>
                <w:i w:val="0"/>
                <w:iCs w:val="0"/>
                <w:color w:val="000000"/>
                <w:kern w:val="0"/>
                <w:sz w:val="24"/>
                <w:szCs w:val="24"/>
                <w:u w:val="none"/>
                <w:bdr w:val="none" w:color="auto" w:sz="0" w:space="0"/>
                <w:lang w:val="en-US" w:eastAsia="zh-CN" w:bidi="ar"/>
              </w:rPr>
              <w:t>162477,98</w:t>
            </w:r>
          </w:p>
        </w:tc>
      </w:tr>
    </w:tbl>
    <w:p w14:paraId="73930322"/>
    <w:sectPr>
      <w:pgSz w:w="11906" w:h="16838"/>
      <w:pgMar w:top="1440" w:right="1800" w:bottom="1440" w:left="1800" w:header="720" w:footer="720" w:gutter="0"/>
      <w:cols w:space="720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黑体">
    <w:altName w:val="SimSun"/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0"/>
  <w:bordersDoNotSurroundFooter w:val="0"/>
  <w:documentProtection w:enforcement="0"/>
  <w:defaultTabStop w:val="708"/>
  <w:drawingGridVerticalSpacing w:val="156"/>
  <w:displayHorizontalDrawingGridEvery w:val="1"/>
  <w:displayVerticalDrawingGridEvery w:val="1"/>
  <w:noPunctuationKerning w:val="1"/>
  <w:characterSpacingControl w:val="doNotCompress"/>
  <w:compat>
    <w:spaceForUL/>
    <w:doNotLeaveBackslashAlone/>
    <w:ulTrailSpace/>
    <w:doNotExpandShiftReturn/>
    <w:adjustLineHeightInTable/>
    <w:doNotWrapTextWithPunct/>
    <w:doNotUseEastAsian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51232DB2"/>
    <w:rsid w:val="09DF3818"/>
    <w:rsid w:val="51232D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SimSun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</w:latentStyles>
  <w:style w:type="paragraph" w:default="1" w:styleId="1">
    <w:name w:val="Normal"/>
    <w:qFormat/>
    <w:uiPriority w:val="0"/>
    <w:rPr>
      <w:rFonts w:asciiTheme="minorHAnsi" w:hAnsiTheme="minorHAnsi" w:eastAsiaTheme="minorEastAsia" w:cstheme="minorBidi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4">
    <w:name w:val="font31"/>
    <w:uiPriority w:val="0"/>
    <w:rPr>
      <w:rFonts w:hint="default" w:ascii="Times New Roman" w:hAnsi="Times New Roman" w:cs="Times New Roman"/>
      <w:color w:val="000000"/>
      <w:u w:val="none"/>
      <w:vertAlign w:val="superscript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41</TotalTime>
  <ScaleCrop>false</ScaleCrop>
  <LinksUpToDate>false</LinksUpToDate>
  <CharactersWithSpaces>0</CharactersWithSpaces>
  <Application>WPS Office_12.2.0.23196_F1E327BC-269C-435d-A152-05C5408002CA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2026-01-27T05:58:00Z</dcterms:created>
  <dc:creator>Пользователь</dc:creator>
  <cp:lastModifiedBy>Пользователь</cp:lastModifiedBy>
  <cp:lastPrinted>2026-01-27T06:37:05Z</cp:lastPrinted>
  <dcterms:modified xsi:type="dcterms:W3CDTF">2026-01-27T06:46:45Z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1049-12.2.0.23196</vt:lpwstr>
  </property>
  <property fmtid="{D5CDD505-2E9C-101B-9397-08002B2CF9AE}" pid="3" name="ICV">
    <vt:lpwstr>821C12C2559C48AA8700ACF54F18915B_11</vt:lpwstr>
  </property>
</Properties>
</file>